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普通全日制本科生保留学籍申请流程说明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我校普通全日制本科在校生参军入伍的，学生本人或学院老师可通过数字聊大网上办事大厅，提交保留学籍申请，实现该项业务的线上办理。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申请人填写保留学籍申请信息，上传入伍通知书照片，如入伍通知书尚未下发也可用入伍新兵登记表代替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教学秘书审批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教务处教学运行中心审批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学院负责人审批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学校相关职能部门（武装部、学生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处、财务处、图书馆）审批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教务处分管处长审批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5274310" cy="439610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pPr>
        <w:widowControl/>
        <w:spacing w:after="150"/>
        <w:ind w:left="630" w:hanging="630" w:hangingChars="300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drawing>
          <wp:inline distT="0" distB="0" distL="0" distR="0">
            <wp:extent cx="5274310" cy="2275840"/>
            <wp:effectExtent l="0" t="0" r="2540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520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2024-05-20T09:22:19Z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5731A63D07034A77A3CAF2361CE99732_12</vt:lpwstr>
  </property>
</Properties>
</file>